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Séance du conseil municipal. Enregistrement. Droit à l’image des conseillers et des agents</w:t>
      </w:r>
    </w:p>
    <w:p>
      <w:pPr>
        <w:pStyle w:val="Heading3"/>
      </w:pPr>
      <w:r>
        <w:rPr/>
        <w:t xml:space="preserve">Source - Commentaire</w:t>
      </w:r>
    </w:p>
    <w:p/>
    <w:p>
      <w:pPr>
        <w:jc w:val="both"/>
      </w:pPr>
      <w:r>
        <w:rPr/>
        <w:t xml:space="preserve">Les séances du conseil municipal sont publiques et peuvent être retransmises par des moyens de communication audiovisuelle (art. L 2121-18 du CGCT), sauf en cas de réunion à huis clos et sous réserve des pouvoirs de police pouvant être exercés par le maire en cas de trouble à l’ordre public (</w:t>
      </w:r>
      <w:hyperlink r:id="rId7" w:history="1">
        <w:r>
          <w:rPr/>
          <w:t xml:space="preserve">art. L 2121-16</w:t>
        </w:r>
      </w:hyperlink>
      <w:r>
        <w:rPr/>
        <w:t xml:space="preserve">). En pratique, l’usage de l’enregistrement ou de la vidéo lors des séances du conseil est explicité dans le règlement intérieur (dans les communes de 1 000 habitants et plus). Les conseillers ne peuvent pas s’opposer à l’enregistrement et leur accord, au titre du droit à l’image, n’est pas non plus requis pour pouvoir procéder à la retransmission des séances publiques. </w:t>
      </w:r>
    </w:p>
    <w:p>
      <w:pPr>
        <w:jc w:val="both"/>
      </w:pPr>
      <w:r>
        <w:rPr/>
        <w:t xml:space="preserve">Toutefois, tel n’est pas le cas de celui des personnels municipaux assistant aux séances publiques (</w:t>
      </w:r>
      <w:r>
        <w:rPr>
          <w:i w:val="1"/>
          <w:iCs w:val="1"/>
        </w:rPr>
        <w:t xml:space="preserve">JO</w:t>
      </w:r>
      <w:r>
        <w:rPr/>
        <w:t xml:space="preserve"> Sénat, 11.06.2015, </w:t>
      </w:r>
      <w:hyperlink r:id="rId8" w:history="1">
        <w:r>
          <w:rPr/>
          <w:t xml:space="preserve">question n° 14378</w:t>
        </w:r>
      </w:hyperlink>
      <w:r>
        <w:rPr/>
        <w:t xml:space="preserve">, p. 1391). Les agents publics territoriaux disposent d’un droit à l’image découlant du droit au respect de la vie privée inscrit à </w:t>
      </w:r>
      <w:hyperlink r:id="rId9" w:history="1">
        <w:r>
          <w:rPr/>
          <w:t xml:space="preserve">l’article 9</w:t>
        </w:r>
      </w:hyperlink>
      <w:r>
        <w:rPr/>
        <w:t xml:space="preserve"> du code civil. En tout état de cause, le droit à l’image ne vise qu’à limiter la publication des images et non d’interdire toute prise de vue dans un cadre public, sauf autorisation des personnes filmées (TA Marseille, 14 juin 2011, n° 0907872 ; TA Guyane, 9 juin 2016, n° 1500381). L’atteinte au droit à l’image n’est constituée qu’en cas d’identification possible (Cass., 21 mars 2006, </w:t>
      </w:r>
      <w:hyperlink r:id="rId10" w:history="1">
        <w:r>
          <w:rPr/>
          <w:t xml:space="preserve">n° 05-16817</w:t>
        </w:r>
      </w:hyperlink>
      <w:r>
        <w:rPr/>
        <w:t xml:space="preserve">). C’est pourquoi, dès lors qu’elle s’en tient à la retransmission de plans larges, incluant par exemple le public, la diffusion de l’image des agents présents dans la salle ne permettra pas leur identification et ne portera donc pas atteinte à leur droit à l’image (</w:t>
      </w:r>
      <w:r>
        <w:rPr>
          <w:i w:val="1"/>
          <w:iCs w:val="1"/>
        </w:rPr>
        <w:t xml:space="preserve">JO</w:t>
      </w:r>
      <w:r>
        <w:rPr/>
        <w:t xml:space="preserve"> Sénat, 11.06.2015, </w:t>
      </w:r>
      <w:hyperlink r:id="rId8" w:history="1">
        <w:r>
          <w:rPr/>
          <w:t xml:space="preserve">question n° 14378</w:t>
        </w:r>
      </w:hyperlink>
      <w:r>
        <w:rPr/>
        <w:t xml:space="preserve">, p. 1391). Les enregistrements effectués ne sont plus soumis à déclaration préalable à la CNIL depuis le 25 mai 2018, mais doivent être conformes aux règles de protection des données personnelles.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06389874" TargetMode="External"/><Relationship Id="rId8" Type="http://schemas.openxmlformats.org/officeDocument/2006/relationships/hyperlink" Target="https://www.senat.fr/questions/base/2014/qSEQ141214378.html" TargetMode="External"/><Relationship Id="rId9" Type="http://schemas.openxmlformats.org/officeDocument/2006/relationships/hyperlink" Target="https://www.legifrance.gouv.fr/codes/article_lc/LEGIARTI000006419288" TargetMode="External"/><Relationship Id="rId10" Type="http://schemas.openxmlformats.org/officeDocument/2006/relationships/hyperlink" Target="https://www.legifrance.gouv.fr/juri/id/JURITEXT0000070507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2026-06-24T05:37:58+02:00</dcterms:created>
  <dcterms:modified xsi:type="dcterms:W3CDTF">2026-06-24T05:37:58+02:00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